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EC" w:rsidRPr="003001CA" w:rsidRDefault="00F126EC">
      <w:pPr>
        <w:spacing w:after="0"/>
        <w:rPr>
          <w:color w:val="auto"/>
        </w:rPr>
      </w:pPr>
    </w:p>
    <w:tbl>
      <w:tblPr>
        <w:tblStyle w:val="TableGrid"/>
        <w:tblW w:w="10488" w:type="dxa"/>
        <w:tblInd w:w="-10" w:type="dxa"/>
        <w:tblCellMar>
          <w:top w:w="45" w:type="dxa"/>
          <w:left w:w="108" w:type="dxa"/>
          <w:right w:w="80" w:type="dxa"/>
        </w:tblCellMar>
        <w:tblLook w:val="04A0" w:firstRow="1" w:lastRow="0" w:firstColumn="1" w:lastColumn="0" w:noHBand="0" w:noVBand="1"/>
      </w:tblPr>
      <w:tblGrid>
        <w:gridCol w:w="562"/>
        <w:gridCol w:w="2269"/>
        <w:gridCol w:w="7657"/>
      </w:tblGrid>
      <w:tr w:rsidR="00F126EC" w:rsidRPr="003001CA">
        <w:trPr>
          <w:trHeight w:val="358"/>
        </w:trPr>
        <w:tc>
          <w:tcPr>
            <w:tcW w:w="562"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1.</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Reference  </w:t>
            </w:r>
          </w:p>
        </w:tc>
        <w:tc>
          <w:tcPr>
            <w:tcW w:w="7657"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QAA-11-21 </w:t>
            </w:r>
          </w:p>
        </w:tc>
      </w:tr>
      <w:tr w:rsidR="00F126EC" w:rsidRPr="003001CA">
        <w:trPr>
          <w:trHeight w:val="302"/>
        </w:trPr>
        <w:tc>
          <w:tcPr>
            <w:tcW w:w="562"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2.</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Role title </w:t>
            </w:r>
          </w:p>
        </w:tc>
        <w:tc>
          <w:tcPr>
            <w:tcW w:w="7657"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Qualification &amp; Apprenticeship Approval Assessor </w:t>
            </w:r>
          </w:p>
        </w:tc>
      </w:tr>
      <w:tr w:rsidR="00F126EC" w:rsidRPr="003001CA">
        <w:trPr>
          <w:trHeight w:val="2033"/>
        </w:trPr>
        <w:tc>
          <w:tcPr>
            <w:tcW w:w="562"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3.</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Background </w:t>
            </w:r>
          </w:p>
        </w:tc>
        <w:tc>
          <w:tcPr>
            <w:tcW w:w="7657"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The Welding Institute has a team of assessors supporting the approval of qualifications at level 3 or above which meet the full academic requirements for Engineering Technician (EngTech). Approval A</w:t>
            </w:r>
            <w:r w:rsidR="009436BF">
              <w:rPr>
                <w:color w:val="auto"/>
                <w:sz w:val="24"/>
              </w:rPr>
              <w:t>ssessors are academics</w:t>
            </w:r>
            <w:r w:rsidRPr="003001CA">
              <w:rPr>
                <w:color w:val="auto"/>
                <w:sz w:val="24"/>
              </w:rPr>
              <w:t xml:space="preserve"> and industrialists with significant expertise and knowledge in their field, who voluntarily support The Welding Institute in order that trainees and graduates with a pathway to registration with the Engineering Council. </w:t>
            </w:r>
          </w:p>
        </w:tc>
      </w:tr>
      <w:tr w:rsidR="00F126EC" w:rsidRPr="003001CA">
        <w:trPr>
          <w:trHeight w:val="6011"/>
        </w:trPr>
        <w:tc>
          <w:tcPr>
            <w:tcW w:w="562" w:type="dxa"/>
            <w:tcBorders>
              <w:top w:val="single" w:sz="4" w:space="0" w:color="BFBFBF"/>
              <w:left w:val="single" w:sz="4" w:space="0" w:color="BFBFBF"/>
              <w:bottom w:val="single" w:sz="4" w:space="0" w:color="BFBFBF"/>
              <w:right w:val="single" w:sz="4" w:space="0" w:color="BFBFBF"/>
            </w:tcBorders>
          </w:tcPr>
          <w:p w:rsidR="00F126EC" w:rsidRPr="003001CA" w:rsidRDefault="0077741C">
            <w:pPr>
              <w:ind w:left="22"/>
              <w:rPr>
                <w:color w:val="auto"/>
              </w:rPr>
            </w:pPr>
            <w:r w:rsidRPr="003001CA">
              <w:rPr>
                <w:color w:val="auto"/>
                <w:sz w:val="24"/>
              </w:rPr>
              <w:t>4.</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Main duties and responsibilities </w:t>
            </w:r>
          </w:p>
        </w:tc>
        <w:tc>
          <w:tcPr>
            <w:tcW w:w="7657" w:type="dxa"/>
            <w:tcBorders>
              <w:top w:val="single" w:sz="4" w:space="0" w:color="BFBFBF"/>
              <w:left w:val="single" w:sz="4" w:space="0" w:color="BFBFBF"/>
              <w:bottom w:val="single" w:sz="4" w:space="0" w:color="BFBFBF"/>
              <w:right w:val="single" w:sz="4" w:space="0" w:color="BFBFBF"/>
            </w:tcBorders>
          </w:tcPr>
          <w:p w:rsidR="00F126EC" w:rsidRPr="003001CA" w:rsidRDefault="0077741C">
            <w:pPr>
              <w:numPr>
                <w:ilvl w:val="0"/>
                <w:numId w:val="1"/>
              </w:numPr>
              <w:spacing w:after="49"/>
              <w:ind w:hanging="360"/>
              <w:rPr>
                <w:color w:val="auto"/>
              </w:rPr>
            </w:pPr>
            <w:r w:rsidRPr="003001CA">
              <w:rPr>
                <w:color w:val="auto"/>
                <w:sz w:val="24"/>
              </w:rPr>
              <w:t xml:space="preserve">Gather and review evidence to make an objective judgement regarding the suitability of courses for approval against Engineering Council learning outcomes, </w:t>
            </w:r>
          </w:p>
          <w:p w:rsidR="00F126EC" w:rsidRPr="003001CA" w:rsidRDefault="0077741C">
            <w:pPr>
              <w:numPr>
                <w:ilvl w:val="0"/>
                <w:numId w:val="1"/>
              </w:numPr>
              <w:spacing w:after="46" w:line="242" w:lineRule="auto"/>
              <w:ind w:hanging="360"/>
              <w:rPr>
                <w:color w:val="auto"/>
              </w:rPr>
            </w:pPr>
            <w:r w:rsidRPr="003001CA">
              <w:rPr>
                <w:color w:val="auto"/>
                <w:sz w:val="24"/>
              </w:rPr>
              <w:t xml:space="preserve">Contribute to open discussion in an open and constructive manner to support a team in achieving an agreeable outcome, </w:t>
            </w:r>
          </w:p>
          <w:p w:rsidR="00F126EC" w:rsidRPr="003001CA" w:rsidRDefault="0077741C">
            <w:pPr>
              <w:numPr>
                <w:ilvl w:val="0"/>
                <w:numId w:val="1"/>
              </w:numPr>
              <w:spacing w:after="49"/>
              <w:ind w:hanging="360"/>
              <w:rPr>
                <w:color w:val="auto"/>
              </w:rPr>
            </w:pPr>
            <w:r w:rsidRPr="003001CA">
              <w:rPr>
                <w:color w:val="auto"/>
                <w:sz w:val="24"/>
              </w:rPr>
              <w:t xml:space="preserve">Be respectful and supportive to all individuals involved in the approval’s process, </w:t>
            </w:r>
          </w:p>
          <w:p w:rsidR="00F126EC" w:rsidRPr="003001CA" w:rsidRDefault="0077741C">
            <w:pPr>
              <w:numPr>
                <w:ilvl w:val="0"/>
                <w:numId w:val="1"/>
              </w:numPr>
              <w:ind w:hanging="360"/>
              <w:rPr>
                <w:color w:val="auto"/>
              </w:rPr>
            </w:pPr>
            <w:r w:rsidRPr="003001CA">
              <w:rPr>
                <w:color w:val="auto"/>
                <w:sz w:val="24"/>
              </w:rPr>
              <w:t xml:space="preserve">Keep up to date with the latest Engineering Council and Welding </w:t>
            </w:r>
          </w:p>
          <w:p w:rsidR="00F126EC" w:rsidRPr="003001CA" w:rsidRDefault="0077741C">
            <w:pPr>
              <w:spacing w:after="25"/>
              <w:ind w:left="720"/>
              <w:rPr>
                <w:color w:val="auto"/>
              </w:rPr>
            </w:pPr>
            <w:r w:rsidRPr="003001CA">
              <w:rPr>
                <w:color w:val="auto"/>
                <w:sz w:val="24"/>
              </w:rPr>
              <w:t xml:space="preserve">Institute individual route procedures and regulations, </w:t>
            </w:r>
          </w:p>
          <w:p w:rsidR="00F126EC" w:rsidRPr="003001CA" w:rsidRDefault="0077741C">
            <w:pPr>
              <w:numPr>
                <w:ilvl w:val="0"/>
                <w:numId w:val="1"/>
              </w:numPr>
              <w:spacing w:after="49"/>
              <w:ind w:hanging="360"/>
              <w:rPr>
                <w:color w:val="auto"/>
              </w:rPr>
            </w:pPr>
            <w:r w:rsidRPr="003001CA">
              <w:rPr>
                <w:color w:val="auto"/>
                <w:sz w:val="24"/>
              </w:rPr>
              <w:t xml:space="preserve">Share best practice and support opportunities for continuous improvement, </w:t>
            </w:r>
          </w:p>
          <w:p w:rsidR="00F126EC" w:rsidRPr="003001CA" w:rsidRDefault="0077741C">
            <w:pPr>
              <w:numPr>
                <w:ilvl w:val="0"/>
                <w:numId w:val="1"/>
              </w:numPr>
              <w:spacing w:after="46" w:line="242" w:lineRule="auto"/>
              <w:ind w:hanging="360"/>
              <w:rPr>
                <w:color w:val="auto"/>
              </w:rPr>
            </w:pPr>
            <w:r w:rsidRPr="003001CA">
              <w:rPr>
                <w:color w:val="auto"/>
                <w:sz w:val="24"/>
              </w:rPr>
              <w:t xml:space="preserve">Where required, form an approval ratification panel to review and approve other approval submissions as per approval procedures, </w:t>
            </w:r>
          </w:p>
          <w:p w:rsidR="00972966" w:rsidRPr="003001CA" w:rsidRDefault="0077741C">
            <w:pPr>
              <w:numPr>
                <w:ilvl w:val="0"/>
                <w:numId w:val="1"/>
              </w:numPr>
              <w:spacing w:after="3" w:line="257" w:lineRule="auto"/>
              <w:ind w:hanging="360"/>
              <w:rPr>
                <w:color w:val="auto"/>
              </w:rPr>
            </w:pPr>
            <w:r w:rsidRPr="003001CA">
              <w:rPr>
                <w:color w:val="auto"/>
                <w:sz w:val="24"/>
              </w:rPr>
              <w:t xml:space="preserve">Be able to confirm absence of conflict of interest </w:t>
            </w:r>
          </w:p>
          <w:p w:rsidR="00972966" w:rsidRPr="003001CA" w:rsidRDefault="0077741C">
            <w:pPr>
              <w:numPr>
                <w:ilvl w:val="0"/>
                <w:numId w:val="1"/>
              </w:numPr>
              <w:spacing w:after="3" w:line="257" w:lineRule="auto"/>
              <w:ind w:hanging="360"/>
              <w:rPr>
                <w:color w:val="auto"/>
              </w:rPr>
            </w:pPr>
            <w:r w:rsidRPr="003001CA">
              <w:rPr>
                <w:color w:val="auto"/>
                <w:sz w:val="24"/>
              </w:rPr>
              <w:t>Complete training and refresh</w:t>
            </w:r>
            <w:r w:rsidR="00972966" w:rsidRPr="003001CA">
              <w:rPr>
                <w:color w:val="auto"/>
                <w:sz w:val="24"/>
              </w:rPr>
              <w:t>er training as required</w:t>
            </w:r>
            <w:r w:rsidRPr="003001CA">
              <w:rPr>
                <w:rFonts w:ascii="Arial" w:eastAsia="Arial" w:hAnsi="Arial" w:cs="Arial"/>
                <w:color w:val="auto"/>
                <w:sz w:val="24"/>
              </w:rPr>
              <w:t xml:space="preserve"> </w:t>
            </w:r>
          </w:p>
          <w:p w:rsidR="00F126EC" w:rsidRPr="003001CA" w:rsidRDefault="0077741C">
            <w:pPr>
              <w:numPr>
                <w:ilvl w:val="0"/>
                <w:numId w:val="1"/>
              </w:numPr>
              <w:spacing w:after="3" w:line="257" w:lineRule="auto"/>
              <w:ind w:hanging="360"/>
              <w:rPr>
                <w:color w:val="auto"/>
              </w:rPr>
            </w:pPr>
            <w:r w:rsidRPr="003001CA">
              <w:rPr>
                <w:color w:val="auto"/>
                <w:sz w:val="24"/>
              </w:rPr>
              <w:t xml:space="preserve">Abide by equality and diversity legislation. </w:t>
            </w:r>
          </w:p>
          <w:p w:rsidR="00F126EC" w:rsidRPr="003001CA" w:rsidRDefault="0077741C">
            <w:pPr>
              <w:numPr>
                <w:ilvl w:val="0"/>
                <w:numId w:val="1"/>
              </w:numPr>
              <w:spacing w:after="49"/>
              <w:ind w:hanging="360"/>
              <w:rPr>
                <w:color w:val="auto"/>
              </w:rPr>
            </w:pPr>
            <w:r w:rsidRPr="003001CA">
              <w:rPr>
                <w:color w:val="auto"/>
                <w:sz w:val="24"/>
              </w:rPr>
              <w:t xml:space="preserve">Observe the proper duties of confidentiality regarding all approval documentation and communications.  </w:t>
            </w:r>
          </w:p>
          <w:p w:rsidR="00F126EC" w:rsidRPr="003001CA" w:rsidRDefault="0077741C">
            <w:pPr>
              <w:numPr>
                <w:ilvl w:val="0"/>
                <w:numId w:val="1"/>
              </w:numPr>
              <w:ind w:hanging="360"/>
              <w:rPr>
                <w:color w:val="auto"/>
              </w:rPr>
            </w:pPr>
            <w:r w:rsidRPr="003001CA">
              <w:rPr>
                <w:color w:val="auto"/>
                <w:sz w:val="24"/>
              </w:rPr>
              <w:t xml:space="preserve">To prepare for and conduct the approvals process to agreed timescales. </w:t>
            </w:r>
          </w:p>
        </w:tc>
      </w:tr>
      <w:tr w:rsidR="00F126EC" w:rsidRPr="003001CA">
        <w:trPr>
          <w:trHeight w:val="3283"/>
        </w:trPr>
        <w:tc>
          <w:tcPr>
            <w:tcW w:w="562" w:type="dxa"/>
            <w:tcBorders>
              <w:top w:val="single" w:sz="4" w:space="0" w:color="BFBFBF"/>
              <w:left w:val="single" w:sz="4" w:space="0" w:color="BFBFBF"/>
              <w:bottom w:val="single" w:sz="4" w:space="0" w:color="BFBFBF"/>
              <w:right w:val="single" w:sz="4" w:space="0" w:color="BFBFBF"/>
            </w:tcBorders>
          </w:tcPr>
          <w:p w:rsidR="00F126EC" w:rsidRPr="003001CA" w:rsidRDefault="0077741C">
            <w:pPr>
              <w:ind w:left="22"/>
              <w:rPr>
                <w:color w:val="auto"/>
              </w:rPr>
            </w:pPr>
            <w:r w:rsidRPr="003001CA">
              <w:rPr>
                <w:color w:val="auto"/>
                <w:sz w:val="24"/>
              </w:rPr>
              <w:lastRenderedPageBreak/>
              <w:t>5.</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Person Specification </w:t>
            </w:r>
          </w:p>
        </w:tc>
        <w:tc>
          <w:tcPr>
            <w:tcW w:w="7657" w:type="dxa"/>
            <w:tcBorders>
              <w:top w:val="single" w:sz="4" w:space="0" w:color="BFBFBF"/>
              <w:left w:val="single" w:sz="4" w:space="0" w:color="BFBFBF"/>
              <w:bottom w:val="single" w:sz="4" w:space="0" w:color="BFBFBF"/>
              <w:right w:val="single" w:sz="4" w:space="0" w:color="BFBFBF"/>
            </w:tcBorders>
          </w:tcPr>
          <w:p w:rsidR="00F126EC" w:rsidRPr="003001CA" w:rsidRDefault="0077741C">
            <w:pPr>
              <w:spacing w:after="49"/>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Approval assessors are expected to have experience in one or more of the following:  </w:t>
            </w:r>
          </w:p>
          <w:p w:rsidR="00F126EC" w:rsidRPr="003001CA" w:rsidRDefault="0077741C">
            <w:pPr>
              <w:numPr>
                <w:ilvl w:val="0"/>
                <w:numId w:val="2"/>
              </w:numPr>
              <w:spacing w:after="51"/>
              <w:ind w:hanging="360"/>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Experience of working with apprenticeships or level three qualifications, understanding of Apprenticeship Standards, Frameworks and/or vocational engineering qualifications, </w:t>
            </w:r>
          </w:p>
          <w:p w:rsidR="00F126EC" w:rsidRPr="003001CA" w:rsidRDefault="0077741C">
            <w:pPr>
              <w:numPr>
                <w:ilvl w:val="0"/>
                <w:numId w:val="2"/>
              </w:numPr>
              <w:spacing w:after="49"/>
              <w:ind w:hanging="360"/>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Understanding of working with apprenticeships and related qualifications from RQF levels 3 to 7. </w:t>
            </w:r>
          </w:p>
          <w:p w:rsidR="00B958FD" w:rsidRPr="003001CA" w:rsidRDefault="0077741C" w:rsidP="00B958FD">
            <w:pPr>
              <w:numPr>
                <w:ilvl w:val="0"/>
                <w:numId w:val="2"/>
              </w:numPr>
              <w:spacing w:line="248" w:lineRule="auto"/>
              <w:ind w:hanging="360"/>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Further Education quality assurance and/or External Quality Assurance (EQA) for apprenticeship programmes. </w:t>
            </w:r>
            <w:r w:rsidRPr="003001CA">
              <w:rPr>
                <w:rFonts w:asciiTheme="minorHAnsi" w:eastAsia="Segoe UI Symbol" w:hAnsiTheme="minorHAnsi" w:cstheme="minorHAnsi"/>
                <w:color w:val="auto"/>
                <w:sz w:val="24"/>
                <w:szCs w:val="24"/>
              </w:rPr>
              <w:t></w:t>
            </w:r>
            <w:r w:rsidRPr="003001CA">
              <w:rPr>
                <w:rFonts w:asciiTheme="minorHAnsi" w:eastAsia="Arial" w:hAnsiTheme="minorHAnsi" w:cstheme="minorHAnsi"/>
                <w:color w:val="auto"/>
                <w:sz w:val="24"/>
                <w:szCs w:val="24"/>
              </w:rPr>
              <w:t xml:space="preserve"> </w:t>
            </w:r>
            <w:r w:rsidRPr="003001CA">
              <w:rPr>
                <w:rFonts w:asciiTheme="minorHAnsi" w:hAnsiTheme="minorHAnsi" w:cstheme="minorHAnsi"/>
                <w:color w:val="auto"/>
                <w:sz w:val="24"/>
                <w:szCs w:val="24"/>
              </w:rPr>
              <w:t xml:space="preserve">Audit experience. </w:t>
            </w:r>
          </w:p>
          <w:p w:rsidR="00B958FD" w:rsidRPr="003001CA" w:rsidRDefault="00B958FD" w:rsidP="00B958FD">
            <w:pPr>
              <w:spacing w:line="248" w:lineRule="auto"/>
              <w:rPr>
                <w:rFonts w:asciiTheme="minorHAnsi" w:hAnsiTheme="minorHAnsi" w:cstheme="minorHAnsi"/>
                <w:color w:val="auto"/>
                <w:sz w:val="24"/>
                <w:szCs w:val="24"/>
              </w:rPr>
            </w:pPr>
          </w:p>
          <w:p w:rsidR="00B958FD" w:rsidRPr="003001CA" w:rsidRDefault="00B958FD" w:rsidP="00B958FD">
            <w:pPr>
              <w:spacing w:line="248" w:lineRule="auto"/>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It would be desirable if you are familiar with the Engineering Council’s UK Standard for Professional Engineering Competence (UK-SPEC) standard for </w:t>
            </w:r>
            <w:proofErr w:type="spellStart"/>
            <w:r w:rsidRPr="003001CA">
              <w:rPr>
                <w:rFonts w:asciiTheme="minorHAnsi" w:hAnsiTheme="minorHAnsi" w:cstheme="minorHAnsi"/>
                <w:color w:val="auto"/>
                <w:sz w:val="24"/>
                <w:szCs w:val="24"/>
              </w:rPr>
              <w:t>EngTech</w:t>
            </w:r>
            <w:proofErr w:type="spellEnd"/>
            <w:r w:rsidRPr="003001CA">
              <w:rPr>
                <w:rFonts w:asciiTheme="minorHAnsi" w:hAnsiTheme="minorHAnsi" w:cstheme="minorHAnsi"/>
                <w:color w:val="auto"/>
                <w:sz w:val="24"/>
                <w:szCs w:val="24"/>
              </w:rPr>
              <w:t xml:space="preserve">, </w:t>
            </w:r>
            <w:proofErr w:type="spellStart"/>
            <w:r w:rsidRPr="003001CA">
              <w:rPr>
                <w:rFonts w:asciiTheme="minorHAnsi" w:hAnsiTheme="minorHAnsi" w:cstheme="minorHAnsi"/>
                <w:color w:val="auto"/>
                <w:sz w:val="24"/>
                <w:szCs w:val="24"/>
              </w:rPr>
              <w:t>IEng</w:t>
            </w:r>
            <w:proofErr w:type="spellEnd"/>
            <w:r w:rsidRPr="003001CA">
              <w:rPr>
                <w:rFonts w:asciiTheme="minorHAnsi" w:hAnsiTheme="minorHAnsi" w:cstheme="minorHAnsi"/>
                <w:color w:val="auto"/>
                <w:sz w:val="24"/>
                <w:szCs w:val="24"/>
              </w:rPr>
              <w:t xml:space="preserve"> and CEng, as well as the Approval of Qualifications and Apprenticeships Handbook (AQAH) for </w:t>
            </w:r>
            <w:proofErr w:type="spellStart"/>
            <w:r w:rsidRPr="003001CA">
              <w:rPr>
                <w:rFonts w:asciiTheme="minorHAnsi" w:hAnsiTheme="minorHAnsi" w:cstheme="minorHAnsi"/>
                <w:color w:val="auto"/>
                <w:sz w:val="24"/>
                <w:szCs w:val="24"/>
              </w:rPr>
              <w:t>EngTech</w:t>
            </w:r>
            <w:proofErr w:type="spellEnd"/>
            <w:r w:rsidRPr="003001CA">
              <w:rPr>
                <w:rFonts w:asciiTheme="minorHAnsi" w:hAnsiTheme="minorHAnsi" w:cstheme="minorHAnsi"/>
                <w:color w:val="auto"/>
                <w:sz w:val="24"/>
                <w:szCs w:val="24"/>
              </w:rPr>
              <w:t xml:space="preserve">. </w:t>
            </w:r>
          </w:p>
          <w:p w:rsidR="00B958FD" w:rsidRPr="003001CA" w:rsidRDefault="00B958FD" w:rsidP="00B958FD">
            <w:pPr>
              <w:spacing w:line="248" w:lineRule="auto"/>
              <w:rPr>
                <w:rFonts w:asciiTheme="minorHAnsi" w:hAnsiTheme="minorHAnsi" w:cstheme="minorHAnsi"/>
                <w:color w:val="auto"/>
                <w:sz w:val="24"/>
                <w:szCs w:val="24"/>
              </w:rPr>
            </w:pPr>
          </w:p>
          <w:p w:rsidR="00B958FD" w:rsidRPr="003001CA" w:rsidRDefault="00B958FD" w:rsidP="00B958FD">
            <w:pPr>
              <w:spacing w:line="248" w:lineRule="auto"/>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In addition, you will: </w:t>
            </w:r>
          </w:p>
          <w:p w:rsidR="00B958FD" w:rsidRPr="003001CA" w:rsidRDefault="00B958FD" w:rsidP="00B958FD">
            <w:pPr>
              <w:spacing w:line="248" w:lineRule="auto"/>
              <w:rPr>
                <w:rFonts w:asciiTheme="minorHAnsi" w:hAnsiTheme="minorHAnsi" w:cstheme="minorHAnsi"/>
                <w:color w:val="auto"/>
                <w:sz w:val="24"/>
                <w:szCs w:val="24"/>
              </w:rPr>
            </w:pPr>
          </w:p>
          <w:p w:rsidR="00B958FD" w:rsidRPr="003001CA" w:rsidRDefault="00B958FD" w:rsidP="00B958FD">
            <w:pPr>
              <w:pStyle w:val="ListParagraph"/>
              <w:numPr>
                <w:ilvl w:val="0"/>
                <w:numId w:val="6"/>
              </w:numPr>
              <w:spacing w:line="248" w:lineRule="auto"/>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Be professionally registered with the Engineering Council.  </w:t>
            </w:r>
          </w:p>
          <w:p w:rsidR="00B958FD" w:rsidRPr="003001CA" w:rsidRDefault="00B958FD" w:rsidP="00B958FD">
            <w:pPr>
              <w:pStyle w:val="ListParagraph"/>
              <w:numPr>
                <w:ilvl w:val="0"/>
                <w:numId w:val="6"/>
              </w:numPr>
              <w:spacing w:line="248" w:lineRule="auto"/>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Be able to interpret and apply guidance, information and standards </w:t>
            </w:r>
          </w:p>
          <w:p w:rsidR="00B958FD" w:rsidRPr="003001CA" w:rsidRDefault="00B958FD" w:rsidP="00B958FD">
            <w:pPr>
              <w:pStyle w:val="ListParagraph"/>
              <w:numPr>
                <w:ilvl w:val="0"/>
                <w:numId w:val="6"/>
              </w:numPr>
              <w:spacing w:line="248" w:lineRule="auto"/>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Have an understanding and commitment to The Welding Institute and its objectives  </w:t>
            </w:r>
          </w:p>
          <w:p w:rsidR="00B958FD" w:rsidRPr="003001CA" w:rsidRDefault="00B958FD" w:rsidP="00B958FD">
            <w:pPr>
              <w:pStyle w:val="ListParagraph"/>
              <w:numPr>
                <w:ilvl w:val="0"/>
                <w:numId w:val="6"/>
              </w:numPr>
              <w:spacing w:line="248" w:lineRule="auto"/>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Have up to date CPD records </w:t>
            </w:r>
          </w:p>
          <w:p w:rsidR="00B958FD" w:rsidRPr="003001CA" w:rsidRDefault="00B958FD" w:rsidP="00B958FD">
            <w:pPr>
              <w:spacing w:line="248" w:lineRule="auto"/>
              <w:ind w:left="720"/>
              <w:rPr>
                <w:rFonts w:asciiTheme="minorHAnsi" w:hAnsiTheme="minorHAnsi" w:cstheme="minorHAnsi"/>
                <w:color w:val="auto"/>
                <w:sz w:val="24"/>
                <w:szCs w:val="24"/>
              </w:rPr>
            </w:pPr>
          </w:p>
          <w:p w:rsidR="00F126EC" w:rsidRPr="003001CA" w:rsidRDefault="0077741C">
            <w:pPr>
              <w:rPr>
                <w:rFonts w:asciiTheme="minorHAnsi" w:hAnsiTheme="minorHAnsi" w:cstheme="minorHAnsi"/>
                <w:color w:val="auto"/>
                <w:sz w:val="24"/>
                <w:szCs w:val="24"/>
              </w:rPr>
            </w:pPr>
            <w:r w:rsidRPr="003001CA">
              <w:rPr>
                <w:rFonts w:asciiTheme="minorHAnsi" w:hAnsiTheme="minorHAnsi" w:cstheme="minorHAnsi"/>
                <w:color w:val="auto"/>
                <w:sz w:val="24"/>
                <w:szCs w:val="24"/>
              </w:rPr>
              <w:t xml:space="preserve"> </w:t>
            </w:r>
          </w:p>
        </w:tc>
      </w:tr>
      <w:tr w:rsidR="00B958FD" w:rsidRPr="003001CA" w:rsidTr="00B958FD">
        <w:trPr>
          <w:trHeight w:val="1029"/>
        </w:trPr>
        <w:tc>
          <w:tcPr>
            <w:tcW w:w="562" w:type="dxa"/>
            <w:tcBorders>
              <w:top w:val="single" w:sz="4" w:space="0" w:color="BFBFBF"/>
              <w:left w:val="single" w:sz="4" w:space="0" w:color="BFBFBF"/>
              <w:bottom w:val="single" w:sz="4" w:space="0" w:color="BFBFBF"/>
              <w:right w:val="single" w:sz="4" w:space="0" w:color="BFBFBF"/>
            </w:tcBorders>
          </w:tcPr>
          <w:p w:rsidR="00B958FD" w:rsidRPr="003001CA" w:rsidRDefault="00B958FD" w:rsidP="00B958FD">
            <w:pPr>
              <w:rPr>
                <w:color w:val="auto"/>
              </w:rPr>
            </w:pPr>
            <w:r w:rsidRPr="003001CA">
              <w:rPr>
                <w:color w:val="auto"/>
                <w:sz w:val="24"/>
              </w:rPr>
              <w:t>6.</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B958FD" w:rsidRPr="003001CA" w:rsidRDefault="00B958FD" w:rsidP="00B958FD">
            <w:pPr>
              <w:ind w:right="36"/>
              <w:rPr>
                <w:color w:val="auto"/>
              </w:rPr>
            </w:pPr>
            <w:r w:rsidRPr="003001CA">
              <w:rPr>
                <w:color w:val="auto"/>
                <w:sz w:val="24"/>
              </w:rPr>
              <w:t xml:space="preserve">Appointment method </w:t>
            </w:r>
          </w:p>
        </w:tc>
        <w:tc>
          <w:tcPr>
            <w:tcW w:w="7657" w:type="dxa"/>
            <w:tcBorders>
              <w:top w:val="single" w:sz="4" w:space="0" w:color="BFBFBF"/>
              <w:left w:val="single" w:sz="4" w:space="0" w:color="BFBFBF"/>
              <w:bottom w:val="single" w:sz="4" w:space="0" w:color="BFBFBF"/>
              <w:right w:val="single" w:sz="4" w:space="0" w:color="BFBFBF"/>
            </w:tcBorders>
          </w:tcPr>
          <w:p w:rsidR="00B958FD" w:rsidRPr="003001CA" w:rsidRDefault="009436BF" w:rsidP="00B958FD">
            <w:pPr>
              <w:ind w:right="50"/>
              <w:rPr>
                <w:color w:val="auto"/>
              </w:rPr>
            </w:pPr>
            <w:r w:rsidRPr="009436BF">
              <w:rPr>
                <w:color w:val="auto"/>
                <w:sz w:val="24"/>
              </w:rPr>
              <w:t>To apply, please complete an expression of interest form found on our website illustrating how you meet the role criteria and along with your CV, send this to theweldinginstitue@twi.co.uk. Forms will be reviewed by our Nominations Panel.</w:t>
            </w:r>
            <w:bookmarkStart w:id="0" w:name="_GoBack"/>
            <w:bookmarkEnd w:id="0"/>
          </w:p>
        </w:tc>
      </w:tr>
      <w:tr w:rsidR="00B958FD" w:rsidRPr="003001CA" w:rsidTr="00B958FD">
        <w:trPr>
          <w:trHeight w:val="1029"/>
        </w:trPr>
        <w:tc>
          <w:tcPr>
            <w:tcW w:w="562" w:type="dxa"/>
            <w:tcBorders>
              <w:top w:val="single" w:sz="4" w:space="0" w:color="BFBFBF"/>
              <w:left w:val="single" w:sz="4" w:space="0" w:color="BFBFBF"/>
              <w:bottom w:val="single" w:sz="4" w:space="0" w:color="BFBFBF"/>
              <w:right w:val="single" w:sz="4" w:space="0" w:color="BFBFBF"/>
            </w:tcBorders>
          </w:tcPr>
          <w:p w:rsidR="00B958FD" w:rsidRPr="003001CA" w:rsidRDefault="00B958FD" w:rsidP="00B958FD">
            <w:pPr>
              <w:rPr>
                <w:color w:val="auto"/>
              </w:rPr>
            </w:pPr>
            <w:r w:rsidRPr="003001CA">
              <w:rPr>
                <w:color w:val="auto"/>
                <w:sz w:val="24"/>
              </w:rPr>
              <w:t>7.</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B958FD" w:rsidRPr="003001CA" w:rsidRDefault="00B958FD" w:rsidP="00B958FD">
            <w:pPr>
              <w:rPr>
                <w:color w:val="auto"/>
              </w:rPr>
            </w:pPr>
            <w:r w:rsidRPr="003001CA">
              <w:rPr>
                <w:color w:val="auto"/>
                <w:sz w:val="24"/>
              </w:rPr>
              <w:t xml:space="preserve">Time commitment </w:t>
            </w:r>
          </w:p>
        </w:tc>
        <w:tc>
          <w:tcPr>
            <w:tcW w:w="7657" w:type="dxa"/>
            <w:tcBorders>
              <w:top w:val="single" w:sz="4" w:space="0" w:color="BFBFBF"/>
              <w:left w:val="single" w:sz="4" w:space="0" w:color="BFBFBF"/>
              <w:bottom w:val="single" w:sz="4" w:space="0" w:color="BFBFBF"/>
              <w:right w:val="single" w:sz="4" w:space="0" w:color="BFBFBF"/>
            </w:tcBorders>
          </w:tcPr>
          <w:p w:rsidR="00B958FD" w:rsidRPr="003001CA" w:rsidRDefault="00B958FD" w:rsidP="00B958FD">
            <w:pPr>
              <w:rPr>
                <w:color w:val="auto"/>
              </w:rPr>
            </w:pPr>
            <w:r w:rsidRPr="003001CA">
              <w:rPr>
                <w:color w:val="auto"/>
                <w:sz w:val="24"/>
              </w:rPr>
              <w:t xml:space="preserve">There is no fixed period of appointment. Volunteers are welcome to undertake the role as long as they wish, as long as they maintain their training to keep up to date with Engineering Council and institute policy and regulation. Volunteers may be asked to step down to make way for new appointments in order to keep the assessor pool aligned with the strategic goals of the institute. </w:t>
            </w:r>
          </w:p>
        </w:tc>
      </w:tr>
    </w:tbl>
    <w:p w:rsidR="00F126EC" w:rsidRPr="003001CA" w:rsidRDefault="0077741C">
      <w:pPr>
        <w:spacing w:after="0"/>
        <w:jc w:val="right"/>
        <w:rPr>
          <w:color w:val="auto"/>
        </w:rPr>
      </w:pPr>
      <w:r w:rsidRPr="003001CA">
        <w:rPr>
          <w:color w:val="auto"/>
          <w:sz w:val="40"/>
        </w:rPr>
        <w:t xml:space="preserve"> </w:t>
      </w:r>
    </w:p>
    <w:p w:rsidR="00F126EC" w:rsidRPr="003001CA" w:rsidRDefault="0077741C">
      <w:pPr>
        <w:spacing w:after="0"/>
        <w:rPr>
          <w:color w:val="auto"/>
        </w:rPr>
      </w:pPr>
      <w:r w:rsidRPr="003001CA">
        <w:rPr>
          <w:color w:val="auto"/>
        </w:rPr>
        <w:t xml:space="preserve"> </w:t>
      </w:r>
    </w:p>
    <w:tbl>
      <w:tblPr>
        <w:tblStyle w:val="TableGrid"/>
        <w:tblW w:w="10488" w:type="dxa"/>
        <w:tblInd w:w="-10" w:type="dxa"/>
        <w:tblCellMar>
          <w:top w:w="45" w:type="dxa"/>
          <w:left w:w="108" w:type="dxa"/>
          <w:right w:w="62" w:type="dxa"/>
        </w:tblCellMar>
        <w:tblLook w:val="04A0" w:firstRow="1" w:lastRow="0" w:firstColumn="1" w:lastColumn="0" w:noHBand="0" w:noVBand="1"/>
      </w:tblPr>
      <w:tblGrid>
        <w:gridCol w:w="562"/>
        <w:gridCol w:w="2269"/>
        <w:gridCol w:w="7657"/>
      </w:tblGrid>
      <w:tr w:rsidR="00F126EC" w:rsidRPr="003001CA">
        <w:trPr>
          <w:trHeight w:val="1769"/>
        </w:trPr>
        <w:tc>
          <w:tcPr>
            <w:tcW w:w="562"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lastRenderedPageBreak/>
              <w:t>8.</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Reimbursement </w:t>
            </w:r>
          </w:p>
        </w:tc>
        <w:tc>
          <w:tcPr>
            <w:tcW w:w="7657" w:type="dxa"/>
            <w:tcBorders>
              <w:top w:val="single" w:sz="4" w:space="0" w:color="BFBFBF"/>
              <w:left w:val="single" w:sz="4" w:space="0" w:color="BFBFBF"/>
              <w:bottom w:val="single" w:sz="4" w:space="0" w:color="BFBFBF"/>
              <w:right w:val="single" w:sz="4" w:space="0" w:color="BFBFBF"/>
            </w:tcBorders>
          </w:tcPr>
          <w:p w:rsidR="00F126EC" w:rsidRPr="003001CA" w:rsidRDefault="0077741C">
            <w:pPr>
              <w:ind w:right="31"/>
              <w:rPr>
                <w:color w:val="auto"/>
              </w:rPr>
            </w:pPr>
            <w:r w:rsidRPr="003001CA">
              <w:rPr>
                <w:color w:val="auto"/>
                <w:sz w:val="24"/>
              </w:rPr>
              <w:t xml:space="preserve">The role of Qualification &amp; Apprenticeship Approval Assessor for The Welding Institute is a voluntary position.  </w:t>
            </w:r>
          </w:p>
          <w:p w:rsidR="00F126EC" w:rsidRPr="003001CA" w:rsidRDefault="0077741C">
            <w:pPr>
              <w:rPr>
                <w:color w:val="auto"/>
              </w:rPr>
            </w:pPr>
            <w:r w:rsidRPr="003001CA">
              <w:rPr>
                <w:color w:val="auto"/>
                <w:sz w:val="24"/>
              </w:rPr>
              <w:t xml:space="preserve"> </w:t>
            </w:r>
          </w:p>
          <w:p w:rsidR="00F126EC" w:rsidRPr="003001CA" w:rsidRDefault="0077741C">
            <w:pPr>
              <w:rPr>
                <w:color w:val="auto"/>
              </w:rPr>
            </w:pPr>
            <w:r w:rsidRPr="003001CA">
              <w:rPr>
                <w:color w:val="auto"/>
                <w:sz w:val="24"/>
              </w:rPr>
              <w:t xml:space="preserve">All travel, subsistence and accommodation expenses incurred from undertaking an approval will be reimbursed in accordance with The Welding Institute Expenses policy. </w:t>
            </w:r>
          </w:p>
        </w:tc>
      </w:tr>
      <w:tr w:rsidR="00F126EC" w:rsidRPr="003001CA">
        <w:trPr>
          <w:trHeight w:val="1477"/>
        </w:trPr>
        <w:tc>
          <w:tcPr>
            <w:tcW w:w="562"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9.</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Training </w:t>
            </w:r>
          </w:p>
        </w:tc>
        <w:tc>
          <w:tcPr>
            <w:tcW w:w="7657"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All new Qualification &amp; Apprenticeship Approval Assessors will be required to attend a 1-day training event on the process.  </w:t>
            </w:r>
          </w:p>
          <w:p w:rsidR="00F126EC" w:rsidRPr="003001CA" w:rsidRDefault="0077741C">
            <w:pPr>
              <w:rPr>
                <w:color w:val="auto"/>
              </w:rPr>
            </w:pPr>
            <w:r w:rsidRPr="003001CA">
              <w:rPr>
                <w:color w:val="auto"/>
                <w:sz w:val="24"/>
              </w:rPr>
              <w:t xml:space="preserve"> </w:t>
            </w:r>
          </w:p>
          <w:p w:rsidR="00F126EC" w:rsidRPr="003001CA" w:rsidRDefault="0077741C">
            <w:pPr>
              <w:ind w:right="11"/>
              <w:rPr>
                <w:color w:val="auto"/>
              </w:rPr>
            </w:pPr>
            <w:r w:rsidRPr="003001CA">
              <w:rPr>
                <w:color w:val="auto"/>
                <w:sz w:val="24"/>
              </w:rPr>
              <w:t xml:space="preserve">Refresher Training will also carried out on an annual basis. Resources to assist you in the role will be made available.   </w:t>
            </w:r>
          </w:p>
        </w:tc>
      </w:tr>
      <w:tr w:rsidR="00F126EC" w:rsidRPr="003001CA">
        <w:trPr>
          <w:trHeight w:val="1805"/>
        </w:trPr>
        <w:tc>
          <w:tcPr>
            <w:tcW w:w="562"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10.</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Communications  </w:t>
            </w:r>
          </w:p>
        </w:tc>
        <w:tc>
          <w:tcPr>
            <w:tcW w:w="7657" w:type="dxa"/>
            <w:tcBorders>
              <w:top w:val="single" w:sz="4" w:space="0" w:color="BFBFBF"/>
              <w:left w:val="single" w:sz="4" w:space="0" w:color="BFBFBF"/>
              <w:bottom w:val="single" w:sz="4" w:space="0" w:color="BFBFBF"/>
              <w:right w:val="single" w:sz="4" w:space="0" w:color="BFBFBF"/>
            </w:tcBorders>
          </w:tcPr>
          <w:p w:rsidR="00F126EC" w:rsidRPr="003001CA" w:rsidRDefault="0077741C">
            <w:pPr>
              <w:spacing w:after="25"/>
              <w:rPr>
                <w:color w:val="auto"/>
              </w:rPr>
            </w:pPr>
            <w:r w:rsidRPr="003001CA">
              <w:rPr>
                <w:color w:val="auto"/>
                <w:sz w:val="24"/>
              </w:rPr>
              <w:t xml:space="preserve">When undertaking this role, you can expect to receive: </w:t>
            </w:r>
          </w:p>
          <w:p w:rsidR="00F126EC" w:rsidRPr="003001CA" w:rsidRDefault="0077741C">
            <w:pPr>
              <w:numPr>
                <w:ilvl w:val="0"/>
                <w:numId w:val="4"/>
              </w:numPr>
              <w:spacing w:after="49"/>
              <w:ind w:hanging="360"/>
              <w:rPr>
                <w:color w:val="auto"/>
              </w:rPr>
            </w:pPr>
            <w:r w:rsidRPr="003001CA">
              <w:rPr>
                <w:color w:val="auto"/>
                <w:sz w:val="24"/>
              </w:rPr>
              <w:t>Email updates from the Qualificat</w:t>
            </w:r>
            <w:r w:rsidR="003F5EFB" w:rsidRPr="003001CA">
              <w:rPr>
                <w:color w:val="auto"/>
                <w:sz w:val="24"/>
              </w:rPr>
              <w:t>ions &amp; Training Regulatory Group</w:t>
            </w:r>
            <w:r w:rsidRPr="003001CA">
              <w:rPr>
                <w:color w:val="auto"/>
                <w:sz w:val="24"/>
              </w:rPr>
              <w:t xml:space="preserve">.  </w:t>
            </w:r>
          </w:p>
          <w:p w:rsidR="00F126EC" w:rsidRPr="003001CA" w:rsidRDefault="0077741C">
            <w:pPr>
              <w:numPr>
                <w:ilvl w:val="0"/>
                <w:numId w:val="4"/>
              </w:numPr>
              <w:spacing w:after="46" w:line="242" w:lineRule="auto"/>
              <w:ind w:hanging="360"/>
              <w:rPr>
                <w:color w:val="auto"/>
              </w:rPr>
            </w:pPr>
            <w:r w:rsidRPr="003001CA">
              <w:rPr>
                <w:color w:val="auto"/>
                <w:sz w:val="24"/>
              </w:rPr>
              <w:t xml:space="preserve">Email requests to volunteer to support a new apprenticeship programme or qualification for approval. </w:t>
            </w:r>
          </w:p>
          <w:p w:rsidR="00F126EC" w:rsidRPr="003001CA" w:rsidRDefault="0077741C">
            <w:pPr>
              <w:numPr>
                <w:ilvl w:val="0"/>
                <w:numId w:val="4"/>
              </w:numPr>
              <w:ind w:hanging="360"/>
              <w:rPr>
                <w:color w:val="auto"/>
              </w:rPr>
            </w:pPr>
            <w:r w:rsidRPr="003001CA">
              <w:rPr>
                <w:color w:val="auto"/>
                <w:sz w:val="24"/>
              </w:rPr>
              <w:t xml:space="preserve">Email requests to form an approval ratification panel. </w:t>
            </w:r>
          </w:p>
        </w:tc>
      </w:tr>
      <w:tr w:rsidR="00F126EC" w:rsidRPr="003001CA">
        <w:trPr>
          <w:trHeight w:val="622"/>
        </w:trPr>
        <w:tc>
          <w:tcPr>
            <w:tcW w:w="562"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11.</w:t>
            </w:r>
            <w:r w:rsidRPr="003001CA">
              <w:rPr>
                <w:rFonts w:ascii="Arial" w:eastAsia="Arial" w:hAnsi="Arial" w:cs="Arial"/>
                <w:b/>
                <w:color w:val="auto"/>
                <w:sz w:val="24"/>
              </w:rPr>
              <w:t xml:space="preserve"> </w:t>
            </w:r>
            <w:r w:rsidRPr="003001CA">
              <w:rPr>
                <w:color w:val="auto"/>
                <w:sz w:val="24"/>
              </w:rPr>
              <w:t xml:space="preserve"> </w:t>
            </w:r>
          </w:p>
        </w:tc>
        <w:tc>
          <w:tcPr>
            <w:tcW w:w="2269" w:type="dxa"/>
            <w:tcBorders>
              <w:top w:val="single" w:sz="4" w:space="0" w:color="BFBFBF"/>
              <w:left w:val="single" w:sz="4" w:space="0" w:color="BFBFBF"/>
              <w:bottom w:val="single" w:sz="4" w:space="0" w:color="BFBFBF"/>
              <w:right w:val="single" w:sz="4" w:space="0" w:color="BFBFBF"/>
            </w:tcBorders>
          </w:tcPr>
          <w:p w:rsidR="00F126EC" w:rsidRPr="003001CA" w:rsidRDefault="0077741C">
            <w:pPr>
              <w:rPr>
                <w:color w:val="auto"/>
              </w:rPr>
            </w:pPr>
            <w:r w:rsidRPr="003001CA">
              <w:rPr>
                <w:color w:val="auto"/>
                <w:sz w:val="24"/>
              </w:rPr>
              <w:t xml:space="preserve">Benefits of volunteering </w:t>
            </w:r>
          </w:p>
        </w:tc>
        <w:tc>
          <w:tcPr>
            <w:tcW w:w="7657" w:type="dxa"/>
            <w:tcBorders>
              <w:top w:val="single" w:sz="4" w:space="0" w:color="BFBFBF"/>
              <w:left w:val="single" w:sz="4" w:space="0" w:color="BFBFBF"/>
              <w:bottom w:val="single" w:sz="4" w:space="0" w:color="BFBFBF"/>
              <w:right w:val="single" w:sz="4" w:space="0" w:color="BFBFBF"/>
            </w:tcBorders>
          </w:tcPr>
          <w:p w:rsidR="00F126EC" w:rsidRPr="003001CA" w:rsidRDefault="0077741C">
            <w:pPr>
              <w:numPr>
                <w:ilvl w:val="0"/>
                <w:numId w:val="5"/>
              </w:numPr>
              <w:ind w:hanging="360"/>
              <w:rPr>
                <w:color w:val="auto"/>
              </w:rPr>
            </w:pPr>
            <w:r w:rsidRPr="003001CA">
              <w:rPr>
                <w:color w:val="auto"/>
                <w:sz w:val="24"/>
              </w:rPr>
              <w:t xml:space="preserve">Gain an insight into good practice across the education sector;  </w:t>
            </w:r>
          </w:p>
          <w:p w:rsidR="00B958FD" w:rsidRPr="003001CA" w:rsidRDefault="0077741C" w:rsidP="00B958FD">
            <w:pPr>
              <w:numPr>
                <w:ilvl w:val="0"/>
                <w:numId w:val="5"/>
              </w:numPr>
              <w:ind w:hanging="360"/>
              <w:rPr>
                <w:color w:val="auto"/>
              </w:rPr>
            </w:pPr>
            <w:r w:rsidRPr="003001CA">
              <w:rPr>
                <w:color w:val="auto"/>
                <w:sz w:val="24"/>
              </w:rPr>
              <w:t xml:space="preserve">Involvement will provide you with excellent CPD </w:t>
            </w:r>
          </w:p>
          <w:p w:rsidR="00B958FD" w:rsidRPr="003001CA" w:rsidRDefault="00B958FD" w:rsidP="00B958FD">
            <w:pPr>
              <w:numPr>
                <w:ilvl w:val="0"/>
                <w:numId w:val="5"/>
              </w:numPr>
              <w:ind w:hanging="360"/>
              <w:rPr>
                <w:color w:val="auto"/>
              </w:rPr>
            </w:pPr>
            <w:r w:rsidRPr="003001CA">
              <w:rPr>
                <w:color w:val="auto"/>
              </w:rPr>
              <w:t xml:space="preserve">You will be able to share your insights into the standards and assessment processes for professional membership and Engineering Council registration with your employer and colleagues. </w:t>
            </w:r>
          </w:p>
          <w:p w:rsidR="00B958FD" w:rsidRPr="003001CA" w:rsidRDefault="00B958FD" w:rsidP="00B958FD">
            <w:pPr>
              <w:numPr>
                <w:ilvl w:val="0"/>
                <w:numId w:val="5"/>
              </w:numPr>
              <w:ind w:hanging="360"/>
              <w:rPr>
                <w:color w:val="auto"/>
              </w:rPr>
            </w:pPr>
            <w:r w:rsidRPr="003001CA">
              <w:rPr>
                <w:color w:val="auto"/>
              </w:rPr>
              <w:t xml:space="preserve">You will be upholding professional standards in industry and academia. </w:t>
            </w:r>
          </w:p>
          <w:p w:rsidR="00B958FD" w:rsidRPr="003001CA" w:rsidRDefault="00B958FD" w:rsidP="00B958FD">
            <w:pPr>
              <w:numPr>
                <w:ilvl w:val="0"/>
                <w:numId w:val="5"/>
              </w:numPr>
              <w:ind w:hanging="360"/>
              <w:rPr>
                <w:color w:val="auto"/>
              </w:rPr>
            </w:pPr>
            <w:r w:rsidRPr="003001CA">
              <w:rPr>
                <w:color w:val="auto"/>
              </w:rPr>
              <w:t>You will have the opportunity to network with a range of professionals and academics in the engineering sector.</w:t>
            </w:r>
          </w:p>
        </w:tc>
      </w:tr>
    </w:tbl>
    <w:p w:rsidR="00F126EC" w:rsidRPr="003001CA" w:rsidRDefault="0077741C">
      <w:pPr>
        <w:spacing w:after="0"/>
        <w:jc w:val="right"/>
        <w:rPr>
          <w:color w:val="auto"/>
        </w:rPr>
      </w:pPr>
      <w:r w:rsidRPr="003001CA">
        <w:rPr>
          <w:color w:val="auto"/>
          <w:sz w:val="40"/>
        </w:rPr>
        <w:t xml:space="preserve"> </w:t>
      </w:r>
    </w:p>
    <w:p w:rsidR="00F126EC" w:rsidRPr="003001CA" w:rsidRDefault="0077741C">
      <w:pPr>
        <w:spacing w:after="0"/>
        <w:rPr>
          <w:color w:val="auto"/>
        </w:rPr>
      </w:pPr>
      <w:r w:rsidRPr="003001CA">
        <w:rPr>
          <w:color w:val="auto"/>
        </w:rPr>
        <w:t xml:space="preserve"> </w:t>
      </w:r>
    </w:p>
    <w:p w:rsidR="00F126EC" w:rsidRPr="003001CA" w:rsidRDefault="0077741C">
      <w:pPr>
        <w:spacing w:after="218"/>
        <w:rPr>
          <w:color w:val="auto"/>
        </w:rPr>
      </w:pPr>
      <w:r w:rsidRPr="003001CA">
        <w:rPr>
          <w:color w:val="auto"/>
        </w:rPr>
        <w:t xml:space="preserve"> </w:t>
      </w:r>
    </w:p>
    <w:p w:rsidR="00F126EC" w:rsidRPr="003001CA" w:rsidRDefault="0077741C">
      <w:pPr>
        <w:spacing w:after="218"/>
        <w:rPr>
          <w:color w:val="auto"/>
        </w:rPr>
      </w:pPr>
      <w:r w:rsidRPr="003001CA">
        <w:rPr>
          <w:color w:val="auto"/>
        </w:rPr>
        <w:t xml:space="preserve"> </w:t>
      </w:r>
    </w:p>
    <w:p w:rsidR="00F126EC" w:rsidRPr="003001CA" w:rsidRDefault="0077741C">
      <w:pPr>
        <w:spacing w:after="218"/>
        <w:rPr>
          <w:color w:val="auto"/>
        </w:rPr>
      </w:pPr>
      <w:r w:rsidRPr="003001CA">
        <w:rPr>
          <w:color w:val="auto"/>
        </w:rPr>
        <w:t xml:space="preserve"> </w:t>
      </w:r>
    </w:p>
    <w:p w:rsidR="00F126EC" w:rsidRPr="003001CA" w:rsidRDefault="0077741C">
      <w:pPr>
        <w:spacing w:after="218"/>
        <w:rPr>
          <w:color w:val="auto"/>
        </w:rPr>
      </w:pPr>
      <w:r w:rsidRPr="003001CA">
        <w:rPr>
          <w:color w:val="auto"/>
        </w:rPr>
        <w:t xml:space="preserve"> </w:t>
      </w:r>
    </w:p>
    <w:p w:rsidR="00F126EC" w:rsidRPr="003001CA" w:rsidRDefault="0077741C">
      <w:pPr>
        <w:spacing w:after="218"/>
        <w:rPr>
          <w:color w:val="auto"/>
        </w:rPr>
      </w:pPr>
      <w:r w:rsidRPr="003001CA">
        <w:rPr>
          <w:color w:val="auto"/>
        </w:rPr>
        <w:t xml:space="preserve"> </w:t>
      </w:r>
    </w:p>
    <w:p w:rsidR="00F126EC" w:rsidRPr="003001CA" w:rsidRDefault="00F126EC">
      <w:pPr>
        <w:spacing w:after="218"/>
        <w:rPr>
          <w:color w:val="auto"/>
        </w:rPr>
      </w:pPr>
    </w:p>
    <w:p w:rsidR="00F126EC" w:rsidRPr="003001CA" w:rsidRDefault="0077741C">
      <w:pPr>
        <w:spacing w:after="232"/>
        <w:rPr>
          <w:color w:val="auto"/>
        </w:rPr>
      </w:pPr>
      <w:r w:rsidRPr="003001CA">
        <w:rPr>
          <w:color w:val="auto"/>
        </w:rPr>
        <w:t xml:space="preserve"> </w:t>
      </w:r>
    </w:p>
    <w:p w:rsidR="00F126EC" w:rsidRPr="003001CA" w:rsidRDefault="0077741C">
      <w:pPr>
        <w:spacing w:after="0"/>
        <w:rPr>
          <w:color w:val="auto"/>
        </w:rPr>
      </w:pPr>
      <w:r w:rsidRPr="003001CA">
        <w:rPr>
          <w:color w:val="auto"/>
        </w:rPr>
        <w:t xml:space="preserve"> </w:t>
      </w:r>
      <w:r w:rsidRPr="003001CA">
        <w:rPr>
          <w:color w:val="auto"/>
        </w:rPr>
        <w:tab/>
        <w:t xml:space="preserve"> </w:t>
      </w:r>
    </w:p>
    <w:sectPr w:rsidR="00F126EC" w:rsidRPr="003001CA">
      <w:headerReference w:type="even" r:id="rId7"/>
      <w:headerReference w:type="default" r:id="rId8"/>
      <w:footerReference w:type="even" r:id="rId9"/>
      <w:footerReference w:type="default" r:id="rId10"/>
      <w:headerReference w:type="first" r:id="rId11"/>
      <w:footerReference w:type="first" r:id="rId12"/>
      <w:pgSz w:w="11906" w:h="16838"/>
      <w:pgMar w:top="3149" w:right="745" w:bottom="1018" w:left="720" w:header="893"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1C" w:rsidRDefault="0077741C">
      <w:pPr>
        <w:spacing w:after="0" w:line="240" w:lineRule="auto"/>
      </w:pPr>
      <w:r>
        <w:separator/>
      </w:r>
    </w:p>
  </w:endnote>
  <w:endnote w:type="continuationSeparator" w:id="0">
    <w:p w:rsidR="0077741C" w:rsidRDefault="0077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EC" w:rsidRDefault="0077741C">
    <w:pPr>
      <w:tabs>
        <w:tab w:val="center" w:pos="5224"/>
        <w:tab w:val="right" w:pos="10442"/>
      </w:tabs>
      <w:spacing w:after="0"/>
    </w:pPr>
    <w:r>
      <w:rPr>
        <w:sz w:val="16"/>
      </w:rPr>
      <w:t xml:space="preserve">Qualification and Apprenticeship Approval </w:t>
    </w:r>
    <w:r>
      <w:rPr>
        <w:sz w:val="16"/>
      </w:rPr>
      <w:tab/>
      <w:t xml:space="preserve">Copyright © The Welding Institute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9436BF">
      <w:fldChar w:fldCharType="begin"/>
    </w:r>
    <w:r w:rsidR="009436BF">
      <w:instrText xml:space="preserve"> NUMPAGES   \* MERGEFORMAT </w:instrText>
    </w:r>
    <w:r w:rsidR="009436BF">
      <w:fldChar w:fldCharType="separate"/>
    </w:r>
    <w:r>
      <w:rPr>
        <w:sz w:val="16"/>
      </w:rPr>
      <w:t>3</w:t>
    </w:r>
    <w:r w:rsidR="009436BF">
      <w:rPr>
        <w:sz w:val="16"/>
      </w:rPr>
      <w:fldChar w:fldCharType="end"/>
    </w:r>
    <w:r>
      <w:rPr>
        <w:sz w:val="16"/>
      </w:rPr>
      <w:t xml:space="preserve"> </w:t>
    </w:r>
  </w:p>
  <w:p w:rsidR="00F126EC" w:rsidRDefault="0077741C">
    <w:pPr>
      <w:spacing w:after="4"/>
      <w:ind w:left="108"/>
    </w:pPr>
    <w:r>
      <w:rPr>
        <w:sz w:val="16"/>
      </w:rPr>
      <w:t xml:space="preserve">Assessor Role Specification_V1.0 </w:t>
    </w:r>
  </w:p>
  <w:p w:rsidR="00F126EC" w:rsidRDefault="0077741C">
    <w:pPr>
      <w:spacing w:after="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EC" w:rsidRDefault="0077741C">
    <w:pPr>
      <w:tabs>
        <w:tab w:val="center" w:pos="5224"/>
        <w:tab w:val="right" w:pos="10442"/>
      </w:tabs>
      <w:spacing w:after="0"/>
    </w:pPr>
    <w:r>
      <w:rPr>
        <w:sz w:val="16"/>
      </w:rPr>
      <w:t xml:space="preserve">Qualification and Apprenticeship Approval </w:t>
    </w:r>
    <w:r>
      <w:rPr>
        <w:sz w:val="16"/>
      </w:rPr>
      <w:tab/>
      <w:t xml:space="preserve">Copyright © The Welding Institute </w:t>
    </w:r>
    <w:r>
      <w:rPr>
        <w:sz w:val="16"/>
      </w:rPr>
      <w:tab/>
      <w:t xml:space="preserve">Page </w:t>
    </w:r>
    <w:r>
      <w:fldChar w:fldCharType="begin"/>
    </w:r>
    <w:r>
      <w:instrText xml:space="preserve"> PAGE   \* MERGEFORMAT </w:instrText>
    </w:r>
    <w:r>
      <w:fldChar w:fldCharType="separate"/>
    </w:r>
    <w:r w:rsidR="009436BF" w:rsidRPr="009436BF">
      <w:rPr>
        <w:noProof/>
        <w:sz w:val="16"/>
      </w:rPr>
      <w:t>3</w:t>
    </w:r>
    <w:r>
      <w:rPr>
        <w:sz w:val="16"/>
      </w:rPr>
      <w:fldChar w:fldCharType="end"/>
    </w:r>
    <w:r>
      <w:rPr>
        <w:sz w:val="16"/>
      </w:rPr>
      <w:t xml:space="preserve"> of </w:t>
    </w:r>
    <w:r w:rsidR="009436BF">
      <w:fldChar w:fldCharType="begin"/>
    </w:r>
    <w:r w:rsidR="009436BF">
      <w:instrText xml:space="preserve"> NUMPAGES   \* MERGEFORMAT </w:instrText>
    </w:r>
    <w:r w:rsidR="009436BF">
      <w:fldChar w:fldCharType="separate"/>
    </w:r>
    <w:r w:rsidR="009436BF" w:rsidRPr="009436BF">
      <w:rPr>
        <w:noProof/>
        <w:sz w:val="16"/>
      </w:rPr>
      <w:t>3</w:t>
    </w:r>
    <w:r w:rsidR="009436BF">
      <w:rPr>
        <w:noProof/>
        <w:sz w:val="16"/>
      </w:rPr>
      <w:fldChar w:fldCharType="end"/>
    </w:r>
    <w:r>
      <w:rPr>
        <w:sz w:val="16"/>
      </w:rPr>
      <w:t xml:space="preserve"> </w:t>
    </w:r>
  </w:p>
  <w:p w:rsidR="00F126EC" w:rsidRDefault="0077741C">
    <w:pPr>
      <w:spacing w:after="4"/>
      <w:ind w:left="108"/>
    </w:pPr>
    <w:r>
      <w:rPr>
        <w:sz w:val="16"/>
      </w:rPr>
      <w:t xml:space="preserve">Assessor Role Specification_V1.0 </w:t>
    </w:r>
  </w:p>
  <w:p w:rsidR="00F126EC" w:rsidRDefault="0077741C">
    <w:pPr>
      <w:spacing w:after="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EC" w:rsidRDefault="0077741C">
    <w:pPr>
      <w:tabs>
        <w:tab w:val="center" w:pos="5224"/>
        <w:tab w:val="right" w:pos="10442"/>
      </w:tabs>
      <w:spacing w:after="0"/>
    </w:pPr>
    <w:r>
      <w:rPr>
        <w:sz w:val="16"/>
      </w:rPr>
      <w:t xml:space="preserve">Qualification and Apprenticeship Approval </w:t>
    </w:r>
    <w:r>
      <w:rPr>
        <w:sz w:val="16"/>
      </w:rPr>
      <w:tab/>
      <w:t xml:space="preserve">Copyright © The Welding Institute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9436BF">
      <w:fldChar w:fldCharType="begin"/>
    </w:r>
    <w:r w:rsidR="009436BF">
      <w:instrText xml:space="preserve"> NUMPAGES   \* MERGEFORMAT </w:instrText>
    </w:r>
    <w:r w:rsidR="009436BF">
      <w:fldChar w:fldCharType="separate"/>
    </w:r>
    <w:r>
      <w:rPr>
        <w:sz w:val="16"/>
      </w:rPr>
      <w:t>3</w:t>
    </w:r>
    <w:r w:rsidR="009436BF">
      <w:rPr>
        <w:sz w:val="16"/>
      </w:rPr>
      <w:fldChar w:fldCharType="end"/>
    </w:r>
    <w:r>
      <w:rPr>
        <w:sz w:val="16"/>
      </w:rPr>
      <w:t xml:space="preserve"> </w:t>
    </w:r>
  </w:p>
  <w:p w:rsidR="00F126EC" w:rsidRDefault="0077741C">
    <w:pPr>
      <w:spacing w:after="4"/>
      <w:ind w:left="108"/>
    </w:pPr>
    <w:r>
      <w:rPr>
        <w:sz w:val="16"/>
      </w:rPr>
      <w:t xml:space="preserve">Assessor Role Specification_V1.0 </w:t>
    </w:r>
  </w:p>
  <w:p w:rsidR="00F126EC" w:rsidRDefault="0077741C">
    <w:pPr>
      <w:spacing w:after="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1C" w:rsidRDefault="0077741C">
      <w:pPr>
        <w:spacing w:after="0" w:line="240" w:lineRule="auto"/>
      </w:pPr>
      <w:r>
        <w:separator/>
      </w:r>
    </w:p>
  </w:footnote>
  <w:footnote w:type="continuationSeparator" w:id="0">
    <w:p w:rsidR="0077741C" w:rsidRDefault="00777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EC" w:rsidRDefault="0077741C">
    <w:pPr>
      <w:spacing w:after="636"/>
    </w:pPr>
    <w:r>
      <w:rPr>
        <w:noProof/>
      </w:rPr>
      <w:drawing>
        <wp:anchor distT="0" distB="0" distL="114300" distR="114300" simplePos="0" relativeHeight="251658240" behindDoc="0" locked="0" layoutInCell="1" allowOverlap="0">
          <wp:simplePos x="0" y="0"/>
          <wp:positionH relativeFrom="page">
            <wp:posOffset>530860</wp:posOffset>
          </wp:positionH>
          <wp:positionV relativeFrom="page">
            <wp:posOffset>710349</wp:posOffset>
          </wp:positionV>
          <wp:extent cx="2593975" cy="1239482"/>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2593975" cy="1239482"/>
                  </a:xfrm>
                  <a:prstGeom prst="rect">
                    <a:avLst/>
                  </a:prstGeom>
                </pic:spPr>
              </pic:pic>
            </a:graphicData>
          </a:graphic>
        </wp:anchor>
      </w:drawing>
    </w:r>
    <w:r>
      <w:t xml:space="preserve"> </w:t>
    </w:r>
  </w:p>
  <w:p w:rsidR="00F126EC" w:rsidRDefault="0077741C">
    <w:pPr>
      <w:spacing w:after="0"/>
      <w:ind w:left="116" w:right="87"/>
      <w:jc w:val="right"/>
    </w:pPr>
    <w:r>
      <w:rPr>
        <w:color w:val="808080"/>
        <w:sz w:val="40"/>
      </w:rPr>
      <w:t xml:space="preserve">Volunteer Role  </w:t>
    </w:r>
  </w:p>
  <w:p w:rsidR="00F126EC" w:rsidRDefault="0077741C">
    <w:pPr>
      <w:spacing w:after="67"/>
      <w:ind w:left="116" w:right="87"/>
      <w:jc w:val="right"/>
    </w:pPr>
    <w:r>
      <w:rPr>
        <w:color w:val="808080"/>
        <w:sz w:val="40"/>
      </w:rPr>
      <w:t xml:space="preserve">Specification  </w:t>
    </w:r>
  </w:p>
  <w:p w:rsidR="00F126EC" w:rsidRDefault="0077741C">
    <w:pPr>
      <w:spacing w:after="0" w:line="321" w:lineRule="auto"/>
      <w:ind w:left="115" w:right="6173"/>
      <w:jc w:val="right"/>
    </w:pPr>
    <w:r>
      <w:rPr>
        <w:rFonts w:ascii="Verdana" w:eastAsia="Verdana" w:hAnsi="Verdana" w:cs="Verdana"/>
        <w:b/>
        <w:color w:val="808080"/>
        <w:sz w:val="20"/>
      </w:rPr>
      <w:t xml:space="preserve"> </w:t>
    </w:r>
    <w:r>
      <w:rPr>
        <w:rFonts w:ascii="Verdana" w:eastAsia="Verdana" w:hAnsi="Verdana" w:cs="Verdana"/>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EC" w:rsidRDefault="0077741C">
    <w:pPr>
      <w:spacing w:after="636"/>
    </w:pPr>
    <w:r>
      <w:rPr>
        <w:noProof/>
      </w:rPr>
      <w:drawing>
        <wp:anchor distT="0" distB="0" distL="114300" distR="114300" simplePos="0" relativeHeight="251659264" behindDoc="0" locked="0" layoutInCell="1" allowOverlap="0">
          <wp:simplePos x="0" y="0"/>
          <wp:positionH relativeFrom="page">
            <wp:posOffset>530860</wp:posOffset>
          </wp:positionH>
          <wp:positionV relativeFrom="page">
            <wp:posOffset>710349</wp:posOffset>
          </wp:positionV>
          <wp:extent cx="2593975" cy="123948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2593975" cy="1239482"/>
                  </a:xfrm>
                  <a:prstGeom prst="rect">
                    <a:avLst/>
                  </a:prstGeom>
                </pic:spPr>
              </pic:pic>
            </a:graphicData>
          </a:graphic>
        </wp:anchor>
      </w:drawing>
    </w:r>
    <w:r>
      <w:t xml:space="preserve"> </w:t>
    </w:r>
  </w:p>
  <w:p w:rsidR="00F126EC" w:rsidRDefault="0077741C">
    <w:pPr>
      <w:spacing w:after="0"/>
      <w:ind w:left="116" w:right="87"/>
      <w:jc w:val="right"/>
    </w:pPr>
    <w:r>
      <w:rPr>
        <w:color w:val="808080"/>
        <w:sz w:val="40"/>
      </w:rPr>
      <w:t xml:space="preserve">Volunteer Role  </w:t>
    </w:r>
  </w:p>
  <w:p w:rsidR="00F126EC" w:rsidRDefault="0077741C">
    <w:pPr>
      <w:spacing w:after="67"/>
      <w:ind w:left="116" w:right="87"/>
      <w:jc w:val="right"/>
    </w:pPr>
    <w:r>
      <w:rPr>
        <w:color w:val="808080"/>
        <w:sz w:val="40"/>
      </w:rPr>
      <w:t xml:space="preserve">Specification  </w:t>
    </w:r>
  </w:p>
  <w:p w:rsidR="00F126EC" w:rsidRDefault="0077741C">
    <w:pPr>
      <w:spacing w:after="0" w:line="321" w:lineRule="auto"/>
      <w:ind w:left="115" w:right="6173"/>
      <w:jc w:val="right"/>
    </w:pPr>
    <w:r>
      <w:rPr>
        <w:rFonts w:ascii="Verdana" w:eastAsia="Verdana" w:hAnsi="Verdana" w:cs="Verdana"/>
        <w:b/>
        <w:color w:val="808080"/>
        <w:sz w:val="20"/>
      </w:rPr>
      <w:t xml:space="preserve"> </w:t>
    </w:r>
    <w:r>
      <w:rPr>
        <w:rFonts w:ascii="Verdana" w:eastAsia="Verdana" w:hAnsi="Verdana" w:cs="Verdan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EC" w:rsidRDefault="0077741C">
    <w:pPr>
      <w:spacing w:after="636"/>
    </w:pPr>
    <w:r>
      <w:rPr>
        <w:noProof/>
      </w:rPr>
      <w:drawing>
        <wp:anchor distT="0" distB="0" distL="114300" distR="114300" simplePos="0" relativeHeight="251660288" behindDoc="0" locked="0" layoutInCell="1" allowOverlap="0">
          <wp:simplePos x="0" y="0"/>
          <wp:positionH relativeFrom="page">
            <wp:posOffset>530860</wp:posOffset>
          </wp:positionH>
          <wp:positionV relativeFrom="page">
            <wp:posOffset>710349</wp:posOffset>
          </wp:positionV>
          <wp:extent cx="2593975" cy="123948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2593975" cy="1239482"/>
                  </a:xfrm>
                  <a:prstGeom prst="rect">
                    <a:avLst/>
                  </a:prstGeom>
                </pic:spPr>
              </pic:pic>
            </a:graphicData>
          </a:graphic>
        </wp:anchor>
      </w:drawing>
    </w:r>
    <w:r>
      <w:t xml:space="preserve"> </w:t>
    </w:r>
  </w:p>
  <w:p w:rsidR="00F126EC" w:rsidRDefault="0077741C">
    <w:pPr>
      <w:spacing w:after="0"/>
      <w:ind w:left="116" w:right="87"/>
      <w:jc w:val="right"/>
    </w:pPr>
    <w:r>
      <w:rPr>
        <w:color w:val="808080"/>
        <w:sz w:val="40"/>
      </w:rPr>
      <w:t xml:space="preserve">Volunteer Role  </w:t>
    </w:r>
  </w:p>
  <w:p w:rsidR="00F126EC" w:rsidRDefault="0077741C">
    <w:pPr>
      <w:spacing w:after="67"/>
      <w:ind w:left="116" w:right="87"/>
      <w:jc w:val="right"/>
    </w:pPr>
    <w:r>
      <w:rPr>
        <w:color w:val="808080"/>
        <w:sz w:val="40"/>
      </w:rPr>
      <w:t xml:space="preserve">Specification  </w:t>
    </w:r>
  </w:p>
  <w:p w:rsidR="00F126EC" w:rsidRDefault="0077741C">
    <w:pPr>
      <w:spacing w:after="0" w:line="321" w:lineRule="auto"/>
      <w:ind w:left="115" w:right="6173"/>
      <w:jc w:val="right"/>
    </w:pPr>
    <w:r>
      <w:rPr>
        <w:rFonts w:ascii="Verdana" w:eastAsia="Verdana" w:hAnsi="Verdana" w:cs="Verdana"/>
        <w:b/>
        <w:color w:val="808080"/>
        <w:sz w:val="20"/>
      </w:rPr>
      <w:t xml:space="preserve"> </w:t>
    </w:r>
    <w:r>
      <w:rPr>
        <w:rFonts w:ascii="Verdana" w:eastAsia="Verdana" w:hAnsi="Verdana" w:cs="Verdan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B5829"/>
    <w:multiLevelType w:val="hybridMultilevel"/>
    <w:tmpl w:val="D9C4C15A"/>
    <w:lvl w:ilvl="0" w:tplc="5372BE30">
      <w:start w:val="1"/>
      <w:numFmt w:val="bullet"/>
      <w:lvlText w:val="•"/>
      <w:lvlJc w:val="left"/>
      <w:pPr>
        <w:ind w:left="72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ED244426">
      <w:start w:val="1"/>
      <w:numFmt w:val="bullet"/>
      <w:lvlText w:val="o"/>
      <w:lvlJc w:val="left"/>
      <w:pPr>
        <w:ind w:left="154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2" w:tplc="E438CBFC">
      <w:start w:val="1"/>
      <w:numFmt w:val="bullet"/>
      <w:lvlText w:val="▪"/>
      <w:lvlJc w:val="left"/>
      <w:pPr>
        <w:ind w:left="226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3" w:tplc="3AC05840">
      <w:start w:val="1"/>
      <w:numFmt w:val="bullet"/>
      <w:lvlText w:val="•"/>
      <w:lvlJc w:val="left"/>
      <w:pPr>
        <w:ind w:left="298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E70A0682">
      <w:start w:val="1"/>
      <w:numFmt w:val="bullet"/>
      <w:lvlText w:val="o"/>
      <w:lvlJc w:val="left"/>
      <w:pPr>
        <w:ind w:left="370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5" w:tplc="E5941F6E">
      <w:start w:val="1"/>
      <w:numFmt w:val="bullet"/>
      <w:lvlText w:val="▪"/>
      <w:lvlJc w:val="left"/>
      <w:pPr>
        <w:ind w:left="442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6" w:tplc="2ABA9A3E">
      <w:start w:val="1"/>
      <w:numFmt w:val="bullet"/>
      <w:lvlText w:val="•"/>
      <w:lvlJc w:val="left"/>
      <w:pPr>
        <w:ind w:left="514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E5F47930">
      <w:start w:val="1"/>
      <w:numFmt w:val="bullet"/>
      <w:lvlText w:val="o"/>
      <w:lvlJc w:val="left"/>
      <w:pPr>
        <w:ind w:left="586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8" w:tplc="8758D1A8">
      <w:start w:val="1"/>
      <w:numFmt w:val="bullet"/>
      <w:lvlText w:val="▪"/>
      <w:lvlJc w:val="left"/>
      <w:pPr>
        <w:ind w:left="658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abstractNum>
  <w:abstractNum w:abstractNumId="1" w15:restartNumberingAfterBreak="0">
    <w:nsid w:val="41691A58"/>
    <w:multiLevelType w:val="hybridMultilevel"/>
    <w:tmpl w:val="998E52A2"/>
    <w:lvl w:ilvl="0" w:tplc="9DF67374">
      <w:start w:val="1"/>
      <w:numFmt w:val="bullet"/>
      <w:lvlText w:val="•"/>
      <w:lvlJc w:val="left"/>
      <w:pPr>
        <w:ind w:left="72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8EE681B6">
      <w:start w:val="1"/>
      <w:numFmt w:val="bullet"/>
      <w:lvlText w:val="o"/>
      <w:lvlJc w:val="left"/>
      <w:pPr>
        <w:ind w:left="154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2" w:tplc="94528CF6">
      <w:start w:val="1"/>
      <w:numFmt w:val="bullet"/>
      <w:lvlText w:val="▪"/>
      <w:lvlJc w:val="left"/>
      <w:pPr>
        <w:ind w:left="226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3" w:tplc="245E6EB8">
      <w:start w:val="1"/>
      <w:numFmt w:val="bullet"/>
      <w:lvlText w:val="•"/>
      <w:lvlJc w:val="left"/>
      <w:pPr>
        <w:ind w:left="298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1ADA8CFC">
      <w:start w:val="1"/>
      <w:numFmt w:val="bullet"/>
      <w:lvlText w:val="o"/>
      <w:lvlJc w:val="left"/>
      <w:pPr>
        <w:ind w:left="370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5" w:tplc="2898AB7C">
      <w:start w:val="1"/>
      <w:numFmt w:val="bullet"/>
      <w:lvlText w:val="▪"/>
      <w:lvlJc w:val="left"/>
      <w:pPr>
        <w:ind w:left="442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6" w:tplc="35DEEF54">
      <w:start w:val="1"/>
      <w:numFmt w:val="bullet"/>
      <w:lvlText w:val="•"/>
      <w:lvlJc w:val="left"/>
      <w:pPr>
        <w:ind w:left="514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EADCC1B6">
      <w:start w:val="1"/>
      <w:numFmt w:val="bullet"/>
      <w:lvlText w:val="o"/>
      <w:lvlJc w:val="left"/>
      <w:pPr>
        <w:ind w:left="586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8" w:tplc="DE46B582">
      <w:start w:val="1"/>
      <w:numFmt w:val="bullet"/>
      <w:lvlText w:val="▪"/>
      <w:lvlJc w:val="left"/>
      <w:pPr>
        <w:ind w:left="658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abstractNum>
  <w:abstractNum w:abstractNumId="2" w15:restartNumberingAfterBreak="0">
    <w:nsid w:val="46ED40B0"/>
    <w:multiLevelType w:val="hybridMultilevel"/>
    <w:tmpl w:val="B05ADDAA"/>
    <w:lvl w:ilvl="0" w:tplc="6DF82782">
      <w:start w:val="1"/>
      <w:numFmt w:val="bullet"/>
      <w:lvlText w:val="•"/>
      <w:lvlJc w:val="left"/>
      <w:pPr>
        <w:ind w:left="72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04BE49C0">
      <w:start w:val="1"/>
      <w:numFmt w:val="bullet"/>
      <w:lvlText w:val="o"/>
      <w:lvlJc w:val="left"/>
      <w:pPr>
        <w:ind w:left="154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2" w:tplc="977E4218">
      <w:start w:val="1"/>
      <w:numFmt w:val="bullet"/>
      <w:lvlText w:val="▪"/>
      <w:lvlJc w:val="left"/>
      <w:pPr>
        <w:ind w:left="226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3" w:tplc="0AE40F22">
      <w:start w:val="1"/>
      <w:numFmt w:val="bullet"/>
      <w:lvlText w:val="•"/>
      <w:lvlJc w:val="left"/>
      <w:pPr>
        <w:ind w:left="298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DBFCF2FE">
      <w:start w:val="1"/>
      <w:numFmt w:val="bullet"/>
      <w:lvlText w:val="o"/>
      <w:lvlJc w:val="left"/>
      <w:pPr>
        <w:ind w:left="370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5" w:tplc="8F88F208">
      <w:start w:val="1"/>
      <w:numFmt w:val="bullet"/>
      <w:lvlText w:val="▪"/>
      <w:lvlJc w:val="left"/>
      <w:pPr>
        <w:ind w:left="442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6" w:tplc="D274353E">
      <w:start w:val="1"/>
      <w:numFmt w:val="bullet"/>
      <w:lvlText w:val="•"/>
      <w:lvlJc w:val="left"/>
      <w:pPr>
        <w:ind w:left="514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F8102062">
      <w:start w:val="1"/>
      <w:numFmt w:val="bullet"/>
      <w:lvlText w:val="o"/>
      <w:lvlJc w:val="left"/>
      <w:pPr>
        <w:ind w:left="586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8" w:tplc="D7325A30">
      <w:start w:val="1"/>
      <w:numFmt w:val="bullet"/>
      <w:lvlText w:val="▪"/>
      <w:lvlJc w:val="left"/>
      <w:pPr>
        <w:ind w:left="658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abstractNum>
  <w:abstractNum w:abstractNumId="3" w15:restartNumberingAfterBreak="0">
    <w:nsid w:val="568B5A4C"/>
    <w:multiLevelType w:val="hybridMultilevel"/>
    <w:tmpl w:val="AAC0FDCC"/>
    <w:lvl w:ilvl="0" w:tplc="27B0D820">
      <w:start w:val="1"/>
      <w:numFmt w:val="bullet"/>
      <w:lvlText w:val="•"/>
      <w:lvlJc w:val="left"/>
      <w:pPr>
        <w:ind w:left="72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D0028E02">
      <w:start w:val="1"/>
      <w:numFmt w:val="bullet"/>
      <w:lvlText w:val="o"/>
      <w:lvlJc w:val="left"/>
      <w:pPr>
        <w:ind w:left="154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2" w:tplc="58169A70">
      <w:start w:val="1"/>
      <w:numFmt w:val="bullet"/>
      <w:lvlText w:val="▪"/>
      <w:lvlJc w:val="left"/>
      <w:pPr>
        <w:ind w:left="226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3" w:tplc="472E2318">
      <w:start w:val="1"/>
      <w:numFmt w:val="bullet"/>
      <w:lvlText w:val="•"/>
      <w:lvlJc w:val="left"/>
      <w:pPr>
        <w:ind w:left="298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B03EDFF4">
      <w:start w:val="1"/>
      <w:numFmt w:val="bullet"/>
      <w:lvlText w:val="o"/>
      <w:lvlJc w:val="left"/>
      <w:pPr>
        <w:ind w:left="370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5" w:tplc="1C8208E2">
      <w:start w:val="1"/>
      <w:numFmt w:val="bullet"/>
      <w:lvlText w:val="▪"/>
      <w:lvlJc w:val="left"/>
      <w:pPr>
        <w:ind w:left="442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6" w:tplc="1444DC7C">
      <w:start w:val="1"/>
      <w:numFmt w:val="bullet"/>
      <w:lvlText w:val="•"/>
      <w:lvlJc w:val="left"/>
      <w:pPr>
        <w:ind w:left="514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080E7F30">
      <w:start w:val="1"/>
      <w:numFmt w:val="bullet"/>
      <w:lvlText w:val="o"/>
      <w:lvlJc w:val="left"/>
      <w:pPr>
        <w:ind w:left="586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8" w:tplc="D43A6C3A">
      <w:start w:val="1"/>
      <w:numFmt w:val="bullet"/>
      <w:lvlText w:val="▪"/>
      <w:lvlJc w:val="left"/>
      <w:pPr>
        <w:ind w:left="658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abstractNum>
  <w:abstractNum w:abstractNumId="4" w15:restartNumberingAfterBreak="0">
    <w:nsid w:val="5CD92AD5"/>
    <w:multiLevelType w:val="hybridMultilevel"/>
    <w:tmpl w:val="DA5A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704A0"/>
    <w:multiLevelType w:val="hybridMultilevel"/>
    <w:tmpl w:val="32DA5750"/>
    <w:lvl w:ilvl="0" w:tplc="08A4FD76">
      <w:start w:val="1"/>
      <w:numFmt w:val="bullet"/>
      <w:lvlText w:val="•"/>
      <w:lvlJc w:val="left"/>
      <w:pPr>
        <w:ind w:left="72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476A3818">
      <w:start w:val="1"/>
      <w:numFmt w:val="bullet"/>
      <w:lvlText w:val="o"/>
      <w:lvlJc w:val="left"/>
      <w:pPr>
        <w:ind w:left="154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2" w:tplc="5608D7E8">
      <w:start w:val="1"/>
      <w:numFmt w:val="bullet"/>
      <w:lvlText w:val="▪"/>
      <w:lvlJc w:val="left"/>
      <w:pPr>
        <w:ind w:left="226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3" w:tplc="5E1E1262">
      <w:start w:val="1"/>
      <w:numFmt w:val="bullet"/>
      <w:lvlText w:val="•"/>
      <w:lvlJc w:val="left"/>
      <w:pPr>
        <w:ind w:left="298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A75C0CB8">
      <w:start w:val="1"/>
      <w:numFmt w:val="bullet"/>
      <w:lvlText w:val="o"/>
      <w:lvlJc w:val="left"/>
      <w:pPr>
        <w:ind w:left="370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5" w:tplc="4E3CCEDA">
      <w:start w:val="1"/>
      <w:numFmt w:val="bullet"/>
      <w:lvlText w:val="▪"/>
      <w:lvlJc w:val="left"/>
      <w:pPr>
        <w:ind w:left="442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6" w:tplc="07F6AB04">
      <w:start w:val="1"/>
      <w:numFmt w:val="bullet"/>
      <w:lvlText w:val="•"/>
      <w:lvlJc w:val="left"/>
      <w:pPr>
        <w:ind w:left="514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3F68DC90">
      <w:start w:val="1"/>
      <w:numFmt w:val="bullet"/>
      <w:lvlText w:val="o"/>
      <w:lvlJc w:val="left"/>
      <w:pPr>
        <w:ind w:left="586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8" w:tplc="33D253DC">
      <w:start w:val="1"/>
      <w:numFmt w:val="bullet"/>
      <w:lvlText w:val="▪"/>
      <w:lvlJc w:val="left"/>
      <w:pPr>
        <w:ind w:left="6588"/>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EC"/>
    <w:rsid w:val="003001CA"/>
    <w:rsid w:val="003F5EFB"/>
    <w:rsid w:val="00533CF7"/>
    <w:rsid w:val="005E5F63"/>
    <w:rsid w:val="0077741C"/>
    <w:rsid w:val="009436BF"/>
    <w:rsid w:val="00972966"/>
    <w:rsid w:val="00B958FD"/>
    <w:rsid w:val="00F1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69DB"/>
  <w15:docId w15:val="{E1C36521-CE1A-47C3-B603-54FDD937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9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Bates</dc:creator>
  <cp:keywords/>
  <dc:description/>
  <cp:lastModifiedBy>Alice Gillett</cp:lastModifiedBy>
  <cp:revision>3</cp:revision>
  <dcterms:created xsi:type="dcterms:W3CDTF">2023-05-24T08:09:00Z</dcterms:created>
  <dcterms:modified xsi:type="dcterms:W3CDTF">2023-05-25T14:12:00Z</dcterms:modified>
</cp:coreProperties>
</file>